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07C6F4" w14:textId="77777777" w:rsidR="006E423A" w:rsidRDefault="00000000">
      <w:pPr>
        <w:spacing w:after="40"/>
      </w:pPr>
      <w:r>
        <w:rPr>
          <w:b/>
          <w:bCs/>
          <w:color w:val="1F3864"/>
          <w:sz w:val="24"/>
          <w:szCs w:val="24"/>
        </w:rPr>
        <w:t>INSTITUT WAY INSIDE</w:t>
      </w:r>
    </w:p>
    <w:p w14:paraId="74688A74" w14:textId="77777777" w:rsidR="006E423A" w:rsidRDefault="00000000">
      <w:pPr>
        <w:pBdr>
          <w:bottom w:val="single" w:sz="6" w:space="6" w:color="1F3864"/>
        </w:pBdr>
        <w:spacing w:after="260"/>
      </w:pPr>
      <w:r>
        <w:rPr>
          <w:color w:val="595959"/>
          <w:sz w:val="17"/>
          <w:szCs w:val="17"/>
        </w:rPr>
        <w:t>383 Chemin de l’Aligadou, 84170 Monteux | g.poupard@wayinside.fr | +33 6 10 11 98 56 | wayinside.fr</w:t>
      </w:r>
    </w:p>
    <w:p w14:paraId="69948218" w14:textId="77777777" w:rsidR="006E423A" w:rsidRDefault="00000000">
      <w:pPr>
        <w:spacing w:after="40"/>
      </w:pPr>
      <w:r>
        <w:rPr>
          <w:b/>
          <w:bCs/>
          <w:color w:val="1F3864"/>
          <w:sz w:val="32"/>
          <w:szCs w:val="32"/>
        </w:rPr>
        <w:t>Bibliographie</w:t>
      </w:r>
    </w:p>
    <w:p w14:paraId="014FB999" w14:textId="77777777" w:rsidR="006E423A" w:rsidRDefault="00000000">
      <w:pPr>
        <w:spacing w:after="280"/>
      </w:pPr>
      <w:r>
        <w:rPr>
          <w:color w:val="595959"/>
          <w:sz w:val="24"/>
          <w:szCs w:val="24"/>
        </w:rPr>
        <w:t>MOSAIC®, EMDR et psychotraumatologie</w:t>
      </w:r>
    </w:p>
    <w:p w14:paraId="6A8FE51E" w14:textId="77777777" w:rsidR="006E423A" w:rsidRDefault="00000000">
      <w:pPr>
        <w:spacing w:after="120"/>
      </w:pPr>
      <w:r>
        <w:rPr>
          <w:b/>
          <w:bCs/>
          <w:color w:val="1F3864"/>
          <w:sz w:val="19"/>
          <w:szCs w:val="19"/>
        </w:rPr>
        <w:t>MAÎTRISE DU DOCUMENT</w:t>
      </w:r>
    </w:p>
    <w:tbl>
      <w:tblPr>
        <w:tblW w:w="9360" w:type="dxa"/>
        <w:tblBorders>
          <w:top w:val="single" w:sz="4" w:space="0" w:color="B4C0D4"/>
          <w:left w:val="single" w:sz="4" w:space="0" w:color="B4C0D4"/>
          <w:bottom w:val="single" w:sz="4" w:space="0" w:color="B4C0D4"/>
          <w:right w:val="single" w:sz="4" w:space="0" w:color="B4C0D4"/>
          <w:insideH w:val="single" w:sz="2" w:space="0" w:color="D0D8E4"/>
          <w:insideV w:val="single" w:sz="2" w:space="0" w:color="D0D8E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1200"/>
        <w:gridCol w:w="1900"/>
        <w:gridCol w:w="2960"/>
        <w:gridCol w:w="1600"/>
      </w:tblGrid>
      <w:tr w:rsidR="006E423A" w14:paraId="3501B63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559521" w14:textId="77777777" w:rsidR="006E423A" w:rsidRDefault="00000000">
            <w:r>
              <w:rPr>
                <w:b/>
                <w:bCs/>
                <w:color w:val="FFFFFF"/>
                <w:sz w:val="17"/>
                <w:szCs w:val="17"/>
              </w:rPr>
              <w:t>Référence</w:t>
            </w:r>
          </w:p>
        </w:tc>
        <w:tc>
          <w:tcPr>
            <w:tcW w:w="1200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46E123" w14:textId="77777777" w:rsidR="006E423A" w:rsidRDefault="00000000">
            <w:r>
              <w:rPr>
                <w:b/>
                <w:bCs/>
                <w:color w:val="FFFFFF"/>
                <w:sz w:val="17"/>
                <w:szCs w:val="17"/>
              </w:rPr>
              <w:t>Version</w:t>
            </w:r>
          </w:p>
        </w:tc>
        <w:tc>
          <w:tcPr>
            <w:tcW w:w="1900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37E6DE" w14:textId="77777777" w:rsidR="006E423A" w:rsidRDefault="00000000">
            <w:r>
              <w:rPr>
                <w:b/>
                <w:bCs/>
                <w:color w:val="FFFFFF"/>
                <w:sz w:val="17"/>
                <w:szCs w:val="17"/>
              </w:rPr>
              <w:t>Date d’application</w:t>
            </w:r>
          </w:p>
        </w:tc>
        <w:tc>
          <w:tcPr>
            <w:tcW w:w="2960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A07C62" w14:textId="77777777" w:rsidR="006E423A" w:rsidRDefault="00000000">
            <w:r>
              <w:rPr>
                <w:b/>
                <w:bCs/>
                <w:color w:val="FFFFFF"/>
                <w:sz w:val="17"/>
                <w:szCs w:val="17"/>
              </w:rPr>
              <w:t>Rédacteur / approbateur</w:t>
            </w:r>
          </w:p>
        </w:tc>
        <w:tc>
          <w:tcPr>
            <w:tcW w:w="1600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D09C1C" w14:textId="77777777" w:rsidR="006E423A" w:rsidRDefault="00000000">
            <w:r>
              <w:rPr>
                <w:b/>
                <w:bCs/>
                <w:color w:val="FFFFFF"/>
                <w:sz w:val="17"/>
                <w:szCs w:val="17"/>
              </w:rPr>
              <w:t>Prochaine revue</w:t>
            </w:r>
          </w:p>
        </w:tc>
      </w:tr>
      <w:tr w:rsidR="006E423A" w14:paraId="321D6CD5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B81FDE" w14:textId="77777777" w:rsidR="006E423A" w:rsidRDefault="00000000">
            <w:r>
              <w:rPr>
                <w:sz w:val="18"/>
                <w:szCs w:val="18"/>
              </w:rPr>
              <w:t>WI-BIB-06</w:t>
            </w:r>
          </w:p>
        </w:tc>
        <w:tc>
          <w:tcPr>
            <w:tcW w:w="12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AB50DB" w14:textId="77777777" w:rsidR="006E423A" w:rsidRDefault="00000000">
            <w:r>
              <w:rPr>
                <w:sz w:val="18"/>
                <w:szCs w:val="18"/>
              </w:rPr>
              <w:t>V3</w:t>
            </w:r>
          </w:p>
        </w:tc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49A6CB" w14:textId="77777777" w:rsidR="006E423A" w:rsidRDefault="00000000">
            <w:r>
              <w:rPr>
                <w:sz w:val="18"/>
                <w:szCs w:val="18"/>
              </w:rPr>
              <w:t>06/08/2026</w:t>
            </w:r>
          </w:p>
        </w:tc>
        <w:tc>
          <w:tcPr>
            <w:tcW w:w="296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908D4B" w14:textId="77777777" w:rsidR="006E423A" w:rsidRDefault="00000000">
            <w:r>
              <w:rPr>
                <w:sz w:val="18"/>
                <w:szCs w:val="18"/>
              </w:rPr>
              <w:t>Dr Guillaume POUPARD</w:t>
            </w:r>
          </w:p>
        </w:tc>
        <w:tc>
          <w:tcPr>
            <w:tcW w:w="16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893E07" w14:textId="77777777" w:rsidR="006E423A" w:rsidRDefault="00000000">
            <w:r>
              <w:rPr>
                <w:sz w:val="18"/>
                <w:szCs w:val="18"/>
              </w:rPr>
              <w:t>06/08/2027</w:t>
            </w:r>
          </w:p>
        </w:tc>
      </w:tr>
    </w:tbl>
    <w:p w14:paraId="2DE4FC80" w14:textId="77777777" w:rsidR="006E423A" w:rsidRDefault="00000000">
      <w:pPr>
        <w:spacing w:before="280" w:after="120"/>
      </w:pPr>
      <w:r>
        <w:rPr>
          <w:color w:val="000000"/>
        </w:rPr>
        <w:t>La liste des recommandations bibliographiques ci-dessous ne se veut pas exhaustive. Elle s’attache à citer les ouvrages et les publications scientifiques que nous considérons intéressants et utiles au titre de la pratique et de la culture.</w:t>
      </w:r>
    </w:p>
    <w:p w14:paraId="44B77B2A" w14:textId="77777777" w:rsidR="006E423A" w:rsidRDefault="00000000">
      <w:pPr>
        <w:spacing w:after="120"/>
      </w:pPr>
      <w:r>
        <w:rPr>
          <w:color w:val="000000"/>
        </w:rPr>
        <w:t>Merci de bien vouloir nous signaler les erreurs, les omissions, les ouvrages épuisés et introuvables en occasion, ou les nouvelles parutions éventuelles.</w:t>
      </w:r>
    </w:p>
    <w:p w14:paraId="4DFCCABB" w14:textId="77777777" w:rsidR="006E423A" w:rsidRDefault="00000000">
      <w:pPr>
        <w:pStyle w:val="Titre1"/>
        <w:spacing w:before="340" w:after="160"/>
      </w:pPr>
      <w:r>
        <w:rPr>
          <w:b/>
          <w:bCs/>
          <w:color w:val="1F3864"/>
          <w:sz w:val="22"/>
          <w:szCs w:val="22"/>
        </w:rPr>
        <w:t>MOSAIC®</w:t>
      </w:r>
    </w:p>
    <w:p w14:paraId="75FA44EB" w14:textId="77777777" w:rsidR="006E423A" w:rsidRDefault="00000000">
      <w:pPr>
        <w:spacing w:after="140" w:line="260" w:lineRule="auto"/>
        <w:ind w:left="340" w:hanging="340"/>
      </w:pPr>
      <w:r>
        <w:t>Flatot-Blin, D., Rey, A., Derynck, F., Fossard, O. et Khalfa, S. (2023). Clinical efficiency and acceptability of EMDR and MOSAIC therapy for PTSD. Healthcare, 11(15), 2226. https://doi.org/10.3390/healthcare11152226</w:t>
      </w:r>
    </w:p>
    <w:p w14:paraId="1D32D52C" w14:textId="77777777" w:rsidR="006E423A" w:rsidRDefault="00000000">
      <w:pPr>
        <w:spacing w:after="140" w:line="260" w:lineRule="auto"/>
        <w:ind w:left="340" w:hanging="340"/>
      </w:pPr>
      <w:r>
        <w:t>Khalfa, S. (2021). De l’EMDR à la thérapie MOSAIC : guérir sans douleur les traumatismes psychologiques. Norderstedt : BoD. (Nouvelle édition enrichie, 2025.)</w:t>
      </w:r>
    </w:p>
    <w:p w14:paraId="4228BEBE" w14:textId="77777777" w:rsidR="006E423A" w:rsidRDefault="00000000">
      <w:pPr>
        <w:spacing w:after="140" w:line="260" w:lineRule="auto"/>
        <w:ind w:left="340" w:hanging="340"/>
      </w:pPr>
      <w:r>
        <w:t>Khalfa, S. et Poupard, G. (2021). MOSAIC : a new pain-free psychotherapy for psychological trauma. The American Journal of Psychotherapy, 74(1), 40-43. https://doi.org/10.1176/appi.psychotherapy.202020200018</w:t>
      </w:r>
    </w:p>
    <w:p w14:paraId="302A5CFC" w14:textId="77777777" w:rsidR="006E423A" w:rsidRDefault="00000000">
      <w:pPr>
        <w:pStyle w:val="Titre1"/>
        <w:spacing w:before="340" w:after="160"/>
      </w:pPr>
      <w:r>
        <w:rPr>
          <w:b/>
          <w:bCs/>
          <w:color w:val="1F3864"/>
          <w:sz w:val="22"/>
          <w:szCs w:val="22"/>
        </w:rPr>
        <w:t>EMDR</w:t>
      </w:r>
    </w:p>
    <w:p w14:paraId="643E00D8" w14:textId="77777777" w:rsidR="006E423A" w:rsidRDefault="00000000">
      <w:pPr>
        <w:spacing w:after="140" w:line="260" w:lineRule="auto"/>
        <w:ind w:left="340" w:hanging="340"/>
      </w:pPr>
      <w:r>
        <w:t>Khalfa, S. (2019). Prise en charge du traumatisme psychique par la thérapie EMDR et mécanismes cérébraux impliqués. Revue de neuropsychologie, 11(4), 267-272.</w:t>
      </w:r>
    </w:p>
    <w:p w14:paraId="39B33B61" w14:textId="77777777" w:rsidR="006E423A" w:rsidRDefault="00000000">
      <w:pPr>
        <w:spacing w:after="140" w:line="260" w:lineRule="auto"/>
        <w:ind w:left="340" w:hanging="340"/>
      </w:pPr>
      <w:r>
        <w:t>Morris-Smith, J. et Silvestre, M. (2015). L’EMDR avec l’enfant et sa famille : contextualisation et travail intégratif. Paris : Dunod.</w:t>
      </w:r>
    </w:p>
    <w:p w14:paraId="2BF9DB12" w14:textId="77777777" w:rsidR="006E423A" w:rsidRDefault="00000000">
      <w:pPr>
        <w:spacing w:after="140" w:line="260" w:lineRule="auto"/>
        <w:ind w:left="340" w:hanging="340"/>
      </w:pPr>
      <w:r>
        <w:t>Rousseau, P.-F. (2018). Étude des mécanismes d’actions neurobiologiques de la thérapie EMDR dans le trouble de stress post-traumatique (thèse de doctorat en neurosciences). Université d’Aix-Marseille.</w:t>
      </w:r>
    </w:p>
    <w:p w14:paraId="2B560B6C" w14:textId="77777777" w:rsidR="006E423A" w:rsidRDefault="00000000">
      <w:pPr>
        <w:spacing w:after="140" w:line="260" w:lineRule="auto"/>
        <w:ind w:left="340" w:hanging="340"/>
      </w:pPr>
      <w:r>
        <w:t>Shapiro, F. (1989). Efficacy of the eye movement desensitization procedure in the treatment of traumatic memories. Journal of Traumatic Stress, 2(2), 199-223. https://doi.org/10.1002/jts.2490020207</w:t>
      </w:r>
    </w:p>
    <w:p w14:paraId="1F00E575" w14:textId="77777777" w:rsidR="006E423A" w:rsidRDefault="00000000">
      <w:pPr>
        <w:spacing w:after="140" w:line="260" w:lineRule="auto"/>
        <w:ind w:left="340" w:hanging="340"/>
      </w:pPr>
      <w:r>
        <w:t>Shapiro, F. (1989). Eye movement desensitization : a new treatment for post-traumatic stress disorder. Journal of Behavior Therapy and Experimental Psychiatry, 20, 211-217.</w:t>
      </w:r>
    </w:p>
    <w:p w14:paraId="006F8E54" w14:textId="77777777" w:rsidR="006E423A" w:rsidRDefault="00000000">
      <w:pPr>
        <w:spacing w:after="140" w:line="260" w:lineRule="auto"/>
        <w:ind w:left="340" w:hanging="340"/>
      </w:pPr>
      <w:r>
        <w:t>Shapiro, F. (2020). Manuel EMDR : principes, protocoles, procédures. Paris : InterEditions.</w:t>
      </w:r>
    </w:p>
    <w:p w14:paraId="52B3D14E" w14:textId="77777777" w:rsidR="006E423A" w:rsidRDefault="00000000">
      <w:pPr>
        <w:spacing w:after="140" w:line="260" w:lineRule="auto"/>
        <w:ind w:left="340" w:hanging="340"/>
      </w:pPr>
      <w:r>
        <w:t>Tarquinio, C. (dir). (2019). Pratique de la psychothérapie EMDR : fondements et concepts de base, approfondissements pratiques et psychopathologiques. Paris : Dunod.</w:t>
      </w:r>
    </w:p>
    <w:p w14:paraId="57717E4B" w14:textId="77777777" w:rsidR="006E423A" w:rsidRDefault="00000000">
      <w:pPr>
        <w:spacing w:after="140" w:line="260" w:lineRule="auto"/>
        <w:ind w:left="340" w:hanging="340"/>
      </w:pPr>
      <w:r>
        <w:t>Tarquinio, C., Brennstuhl, M.-J., Cornil, L. et Dellucci, H. (dir). (2025). Pratique de la psychothérapie EMDR (2e éd.). Paris : Dunod.</w:t>
      </w:r>
    </w:p>
    <w:p w14:paraId="3806EA33" w14:textId="77777777" w:rsidR="006E423A" w:rsidRDefault="00000000">
      <w:pPr>
        <w:pStyle w:val="Titre1"/>
        <w:spacing w:before="340" w:after="160"/>
      </w:pPr>
      <w:r>
        <w:rPr>
          <w:b/>
          <w:bCs/>
          <w:color w:val="1F3864"/>
          <w:sz w:val="22"/>
          <w:szCs w:val="22"/>
        </w:rPr>
        <w:t>Mécanismes d’action, stimulations bilatérales alternées et neurosciences du trauma</w:t>
      </w:r>
    </w:p>
    <w:p w14:paraId="7C537007" w14:textId="77777777" w:rsidR="006E423A" w:rsidRDefault="00000000">
      <w:pPr>
        <w:spacing w:after="140" w:line="260" w:lineRule="auto"/>
        <w:ind w:left="340" w:hanging="340"/>
      </w:pPr>
      <w:r>
        <w:lastRenderedPageBreak/>
        <w:t>Andrade, J., Kavanagh, D. et Baddeley, A. (1997). Eye-movements and visual imagery : a working memory approach to the treatment of post-traumatic stress disorder. British Journal of Clinical Psychology, 36(2), 209-223.</w:t>
      </w:r>
    </w:p>
    <w:p w14:paraId="27FDC404" w14:textId="77777777" w:rsidR="006E423A" w:rsidRDefault="00000000">
      <w:pPr>
        <w:spacing w:after="140" w:line="260" w:lineRule="auto"/>
        <w:ind w:left="340" w:hanging="340"/>
      </w:pPr>
      <w:r>
        <w:t>Aubert-Khalfa, S., Roques, J. et Blin, O. (2008). Evidence of a decrease in heart rate and skin conductance responses in PTSD patients after a single EMDR session. Journal of EMDR Practice and Research, 2(1), 51-56.</w:t>
      </w:r>
    </w:p>
    <w:p w14:paraId="4D559083" w14:textId="77777777" w:rsidR="006E423A" w:rsidRDefault="00000000">
      <w:pPr>
        <w:spacing w:after="140" w:line="260" w:lineRule="auto"/>
        <w:ind w:left="340" w:hanging="340"/>
      </w:pPr>
      <w:r>
        <w:t>Boukezzi, S., Silva, C., Nazarian, B., Rousseau, P.-F., Guedj, E., Valenzuela-Moguillansky, C. et Khalfa, S. (2017). Bilateral alternating auditory stimulations facilitate fear extinction and retrieval. Frontiers in Psychology, 8, 990.</w:t>
      </w:r>
    </w:p>
    <w:p w14:paraId="6695E13B" w14:textId="77777777" w:rsidR="006E423A" w:rsidRDefault="00000000">
      <w:pPr>
        <w:spacing w:after="140" w:line="260" w:lineRule="auto"/>
        <w:ind w:left="340" w:hanging="340"/>
      </w:pPr>
      <w:r>
        <w:t>Boukezzi, S., El Khoury-Malhame, M., Auzias, G., Reynaud, E., Rousseau, P.-F., Richard, E. et al. (2017). Grey matter density changes of structures involved in posttraumatic stress disorder (PTSD) after recovery following eye movement desensitization and reprocessing (EMDR) therapy. Psychiatry Research : Neuroimaging, 266, 146-152.</w:t>
      </w:r>
    </w:p>
    <w:p w14:paraId="1EEE8700" w14:textId="77777777" w:rsidR="006E423A" w:rsidRDefault="00000000">
      <w:pPr>
        <w:spacing w:after="140" w:line="260" w:lineRule="auto"/>
        <w:ind w:left="340" w:hanging="340"/>
      </w:pPr>
      <w:r>
        <w:t>Miller, P. W., McGowan, I. W., Bergmann, U., Farrell, D. et McLaughlin, D. F. (2018). Stochastic resonance as a proposed neurobiological model for eye movement desensitization and reprocessing (EMDR) therapy. Medical Hypotheses, 121, 106-111.</w:t>
      </w:r>
    </w:p>
    <w:p w14:paraId="3FBDDA6D" w14:textId="77777777" w:rsidR="006E423A" w:rsidRDefault="00000000">
      <w:pPr>
        <w:spacing w:after="140" w:line="260" w:lineRule="auto"/>
        <w:ind w:left="340" w:hanging="340"/>
      </w:pPr>
      <w:r>
        <w:t>Nader, K., Schafe, G. E. et LeDoux, J. E. (2000). Fear memories require protein synthesis in the amygdala for reconsolidation after retrieval. Nature, 406(6797), 722-726. https://doi.org/10.1038/35021052</w:t>
      </w:r>
    </w:p>
    <w:p w14:paraId="71714FC0" w14:textId="77777777" w:rsidR="006E423A" w:rsidRDefault="00000000">
      <w:pPr>
        <w:spacing w:after="140" w:line="260" w:lineRule="auto"/>
        <w:ind w:left="340" w:hanging="340"/>
      </w:pPr>
      <w:r>
        <w:t>Rousseau, P.-F., El Khoury-Malhame, M., Reynaud, E., Boukezzi, S., Cancel, A., Zendjidjian, X. et Khalfa, S. (2019). Fear extinction learning improvement in PTSD after EMDR therapy : an fMRI study. European Journal of Psychotraumatology, 10(1), 1568132.</w:t>
      </w:r>
    </w:p>
    <w:p w14:paraId="230D75E2" w14:textId="77777777" w:rsidR="006E423A" w:rsidRDefault="00000000">
      <w:pPr>
        <w:spacing w:after="140" w:line="260" w:lineRule="auto"/>
        <w:ind w:left="340" w:hanging="340"/>
      </w:pPr>
      <w:r>
        <w:t>Rousseau, P.-F., Boukezzi, S., Garcia, R., Chaminade, T. et Khalfa, S. (2020). Cracking the EMDR code : recruitment of sensory, memory and emotional networks during bilateral alternating auditory stimulation. Australian &amp; New Zealand Journal of Psychiatry, 54(8), 818-831.</w:t>
      </w:r>
    </w:p>
    <w:p w14:paraId="56701F9D" w14:textId="77777777" w:rsidR="006E423A" w:rsidRDefault="00000000">
      <w:pPr>
        <w:spacing w:after="140" w:line="260" w:lineRule="auto"/>
        <w:ind w:left="340" w:hanging="340"/>
      </w:pPr>
      <w:r>
        <w:t>Servan-Schreiber, D., Schooler, J., Dew, M. A., Carter, C. et Bartone, P. (2006). Eye movement desensitization and reprocessing for posttraumatic stress disorder : a pilot blinded, randomized study of stimulation type. Psychotherapy and Psychosomatics, 75(5), 290-297.</w:t>
      </w:r>
    </w:p>
    <w:p w14:paraId="2679B2F0" w14:textId="77777777" w:rsidR="006E423A" w:rsidRDefault="00000000">
      <w:pPr>
        <w:spacing w:after="140" w:line="260" w:lineRule="auto"/>
        <w:ind w:left="340" w:hanging="340"/>
      </w:pPr>
      <w:proofErr w:type="gramStart"/>
      <w:r>
        <w:t>van</w:t>
      </w:r>
      <w:proofErr w:type="gramEnd"/>
      <w:r>
        <w:t xml:space="preserve"> den Hout, M. A. et Engelhard, I. M. (2012). How does EMDR work ? Journal of Experimental Psychopathology, 3(5), 724-738.</w:t>
      </w:r>
    </w:p>
    <w:p w14:paraId="25D2600E" w14:textId="77777777" w:rsidR="006E423A" w:rsidRDefault="00000000">
      <w:pPr>
        <w:spacing w:after="140" w:line="260" w:lineRule="auto"/>
        <w:ind w:left="340" w:hanging="340"/>
      </w:pPr>
      <w:proofErr w:type="gramStart"/>
      <w:r>
        <w:t>van</w:t>
      </w:r>
      <w:proofErr w:type="gramEnd"/>
      <w:r>
        <w:t xml:space="preserve"> den Hout, M. A., Engelhard, I. M., Rijkeboer, M. M., Koekebakker, J., Hornsveld, H., Leer, A. et al. (2011). EMDR : eye movements superior to beeps in taxing working memory and reducing vividness of recollections. Behaviour Research and Therapy, 49(2), 92-98.</w:t>
      </w:r>
    </w:p>
    <w:p w14:paraId="12BBBBC6" w14:textId="77777777" w:rsidR="006E423A" w:rsidRDefault="00000000">
      <w:pPr>
        <w:spacing w:after="140" w:line="260" w:lineRule="auto"/>
        <w:ind w:left="340" w:hanging="340"/>
      </w:pPr>
      <w:r>
        <w:t>Verger, A., Rousseau, P.-F., Malbos, E., Chawki, M. B., Nicolas, F., Lançon, C., Khalfa, S. et Guedj, E. (2020). Involvement of the cerebellum in EMDR efficiency : a metabolic connectivity PET study in PTSD. European Journal of Psychotraumatology, 11(1), 1767986.</w:t>
      </w:r>
    </w:p>
    <w:p w14:paraId="471F67BB" w14:textId="77777777" w:rsidR="006E423A" w:rsidRDefault="00000000">
      <w:pPr>
        <w:spacing w:after="140" w:line="260" w:lineRule="auto"/>
        <w:ind w:left="340" w:hanging="340"/>
      </w:pPr>
      <w:r>
        <w:t>Ward, L. M., MacLean, S. E. et Kirschner, A. (2010). Stochastic resonance modulates neural synchronization within and between cortical sources. PLoS ONE, 5(12), e14371.</w:t>
      </w:r>
    </w:p>
    <w:p w14:paraId="1ADB51BE" w14:textId="77777777" w:rsidR="006E423A" w:rsidRDefault="00000000">
      <w:pPr>
        <w:spacing w:after="140" w:line="260" w:lineRule="auto"/>
        <w:ind w:left="340" w:hanging="340"/>
      </w:pPr>
      <w:r>
        <w:t>Wurtz, H., El Khoury-Malhame, M., Wilhelm, F., Michael, T., Beetz, E. M., Roques, J. et al. (2016). Preventing long-lasting fear recovery using bilateral alternating sensory stimulation : a translational study. Neuroscience, 321, 222-235.</w:t>
      </w:r>
    </w:p>
    <w:p w14:paraId="6ADBB392" w14:textId="77777777" w:rsidR="006E423A" w:rsidRDefault="00000000">
      <w:pPr>
        <w:pStyle w:val="Titre1"/>
        <w:spacing w:before="340" w:after="160"/>
      </w:pPr>
      <w:r>
        <w:rPr>
          <w:b/>
          <w:bCs/>
          <w:color w:val="1F3864"/>
          <w:sz w:val="22"/>
          <w:szCs w:val="22"/>
        </w:rPr>
        <w:t>Traumatisme, psychotrauma, dissociation</w:t>
      </w:r>
    </w:p>
    <w:p w14:paraId="0984E82C" w14:textId="77777777" w:rsidR="006E423A" w:rsidRDefault="00000000">
      <w:pPr>
        <w:spacing w:after="140" w:line="260" w:lineRule="auto"/>
        <w:ind w:left="340" w:hanging="340"/>
      </w:pPr>
      <w:r>
        <w:t>Binet, E. (dir). (2022). Évaluer et prendre en charge le trouble dissociatif de l’identité. Paris : Dunod.</w:t>
      </w:r>
    </w:p>
    <w:p w14:paraId="4ACB8453" w14:textId="77777777" w:rsidR="006E423A" w:rsidRDefault="00000000">
      <w:pPr>
        <w:spacing w:after="140" w:line="260" w:lineRule="auto"/>
        <w:ind w:left="340" w:hanging="340"/>
      </w:pPr>
      <w:r>
        <w:t>Crocq, L. (dir). (2014). Traumatismes psychiques : prise en charge psychologique des victimes. Issy-les-Moulineaux : Elsevier Masson.</w:t>
      </w:r>
    </w:p>
    <w:p w14:paraId="7CA041A9" w14:textId="77777777" w:rsidR="006E423A" w:rsidRDefault="00000000">
      <w:pPr>
        <w:spacing w:after="140" w:line="260" w:lineRule="auto"/>
        <w:ind w:left="340" w:hanging="340"/>
      </w:pPr>
      <w:r>
        <w:t>Delbrouck, M. (2021). Comment traiter le burn-out ? Syndrome d’épuisement professionnel, stress chronique et traumatisme psychique. Louvain-la-Neuve : De Boeck.</w:t>
      </w:r>
    </w:p>
    <w:p w14:paraId="2B03E49C" w14:textId="77777777" w:rsidR="006E423A" w:rsidRDefault="00000000">
      <w:pPr>
        <w:spacing w:after="140" w:line="260" w:lineRule="auto"/>
        <w:ind w:left="340" w:hanging="340"/>
      </w:pPr>
      <w:r>
        <w:lastRenderedPageBreak/>
        <w:t>Pedinielli, J.-L. et Mariage, A. (2015). Psychopathologie du traumatisme. Paris : Armand Colin.</w:t>
      </w:r>
    </w:p>
    <w:p w14:paraId="4F660405" w14:textId="77777777" w:rsidR="006E423A" w:rsidRDefault="00000000">
      <w:pPr>
        <w:spacing w:after="140" w:line="260" w:lineRule="auto"/>
        <w:ind w:left="340" w:hanging="340"/>
      </w:pPr>
      <w:r>
        <w:t>Piedfort-Marin, O. et Reddemann, L. (2017). Psychothérapie des traumatismes complexes : une approche intégrative basée sur la thérapie des états du moi et des techniques hypno-imaginatives. Bruxelles : Satas.</w:t>
      </w:r>
    </w:p>
    <w:p w14:paraId="17B51B5F" w14:textId="77777777" w:rsidR="006E423A" w:rsidRDefault="00000000">
      <w:pPr>
        <w:spacing w:after="140" w:line="260" w:lineRule="auto"/>
        <w:ind w:left="340" w:hanging="340"/>
      </w:pPr>
      <w:r>
        <w:t>Tarquinio, C. (2022). Les maladies ne tombent peut-être pas du ciel. Paris : Dunod.</w:t>
      </w:r>
    </w:p>
    <w:p w14:paraId="19E7C00A" w14:textId="77777777" w:rsidR="006E423A" w:rsidRDefault="00000000">
      <w:pPr>
        <w:spacing w:after="140" w:line="260" w:lineRule="auto"/>
        <w:ind w:left="340" w:hanging="340"/>
      </w:pPr>
      <w:r>
        <w:t>Van der Kolk, B. A. (2021). Le corps n’oublie rien : le cerveau, l’esprit, le corps dans la guérison du traumatisme. Paris : Pocket.</w:t>
      </w:r>
    </w:p>
    <w:p w14:paraId="6ABEFFC5" w14:textId="77777777" w:rsidR="006E423A" w:rsidRDefault="00000000">
      <w:pPr>
        <w:pStyle w:val="Titre1"/>
        <w:spacing w:before="340" w:after="160"/>
      </w:pPr>
      <w:r>
        <w:rPr>
          <w:b/>
          <w:bCs/>
          <w:color w:val="1F3864"/>
          <w:sz w:val="22"/>
          <w:szCs w:val="22"/>
        </w:rPr>
        <w:t>Recommandations et revues systématiques</w:t>
      </w:r>
    </w:p>
    <w:p w14:paraId="3C6714FD" w14:textId="77777777" w:rsidR="006E423A" w:rsidRDefault="00000000">
      <w:pPr>
        <w:spacing w:after="140" w:line="260" w:lineRule="auto"/>
        <w:ind w:left="340" w:hanging="340"/>
      </w:pPr>
      <w:r>
        <w:t>Bisson, J. I., Roberts, N. P., Andrew, M., Cooper, R. et Lewis, C. (2013). Psychological therapies for chronic post-traumatic stress disorder (PTSD) in adults. Cochrane Database of Systematic Reviews, (12), CD003388.</w:t>
      </w:r>
    </w:p>
    <w:p w14:paraId="599D0161" w14:textId="77777777" w:rsidR="006E423A" w:rsidRDefault="00000000">
      <w:pPr>
        <w:spacing w:after="140" w:line="260" w:lineRule="auto"/>
        <w:ind w:left="340" w:hanging="340"/>
      </w:pPr>
      <w:r>
        <w:t>Landin-Romero, R., Moreno-Alcázar, A., Pagani, M. et Amann, B. L. (2018). How does eye movement desensitization and reprocessing therapy work ? A systematic review on suggested mechanisms of action. Frontiers in Psychology, 9, 1395.</w:t>
      </w:r>
    </w:p>
    <w:p w14:paraId="774ACD69" w14:textId="77777777" w:rsidR="006E423A" w:rsidRDefault="00000000">
      <w:pPr>
        <w:spacing w:after="140" w:line="260" w:lineRule="auto"/>
        <w:ind w:left="340" w:hanging="340"/>
      </w:pPr>
      <w:r>
        <w:t>Organisation mondiale de la santé. (2013). Guidelines for the management of conditions specifically related to stress. Genève : OMS.</w:t>
      </w:r>
    </w:p>
    <w:sectPr w:rsidR="006E423A">
      <w:footerReference w:type="default" r:id="rId7"/>
      <w:pgSz w:w="11906" w:h="16838"/>
      <w:pgMar w:top="1152" w:right="1296" w:bottom="1152" w:left="129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BE2E8F" w14:textId="77777777" w:rsidR="00FA646D" w:rsidRDefault="00FA646D">
      <w:r>
        <w:separator/>
      </w:r>
    </w:p>
  </w:endnote>
  <w:endnote w:type="continuationSeparator" w:id="0">
    <w:p w14:paraId="64F30846" w14:textId="77777777" w:rsidR="00FA646D" w:rsidRDefault="00FA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744203" w14:textId="77777777" w:rsidR="006E423A" w:rsidRDefault="00000000">
    <w:pPr>
      <w:jc w:val="center"/>
    </w:pPr>
    <w:r>
      <w:rPr>
        <w:color w:val="595959"/>
        <w:sz w:val="15"/>
        <w:szCs w:val="15"/>
      </w:rPr>
      <w:t xml:space="preserve">WI-BIB-06 — V3 — Date d’application : 06/08/2026 — Page </w:t>
    </w:r>
    <w:r>
      <w:rPr>
        <w:color w:val="595959"/>
        <w:sz w:val="15"/>
        <w:szCs w:val="15"/>
      </w:rPr>
      <w:fldChar w:fldCharType="begin"/>
    </w:r>
    <w:r>
      <w:rPr>
        <w:color w:val="595959"/>
        <w:sz w:val="15"/>
        <w:szCs w:val="15"/>
      </w:rPr>
      <w:instrText>PAGE</w:instrText>
    </w:r>
    <w:r>
      <w:rPr>
        <w:color w:val="595959"/>
        <w:sz w:val="15"/>
        <w:szCs w:val="15"/>
      </w:rPr>
      <w:fldChar w:fldCharType="separate"/>
    </w:r>
    <w:r w:rsidR="008F0884">
      <w:rPr>
        <w:noProof/>
        <w:color w:val="595959"/>
        <w:sz w:val="15"/>
        <w:szCs w:val="15"/>
      </w:rPr>
      <w:t>1</w:t>
    </w:r>
    <w:r>
      <w:rPr>
        <w:color w:val="595959"/>
        <w:sz w:val="15"/>
        <w:szCs w:val="15"/>
      </w:rPr>
      <w:fldChar w:fldCharType="end"/>
    </w:r>
    <w:r>
      <w:rPr>
        <w:color w:val="595959"/>
        <w:sz w:val="15"/>
        <w:szCs w:val="15"/>
      </w:rPr>
      <w:t xml:space="preserve"> / </w:t>
    </w:r>
    <w:r>
      <w:rPr>
        <w:color w:val="595959"/>
        <w:sz w:val="15"/>
        <w:szCs w:val="15"/>
      </w:rPr>
      <w:fldChar w:fldCharType="begin"/>
    </w:r>
    <w:r>
      <w:rPr>
        <w:color w:val="595959"/>
        <w:sz w:val="15"/>
        <w:szCs w:val="15"/>
      </w:rPr>
      <w:instrText>NUMPAGES</w:instrText>
    </w:r>
    <w:r>
      <w:rPr>
        <w:color w:val="595959"/>
        <w:sz w:val="15"/>
        <w:szCs w:val="15"/>
      </w:rPr>
      <w:fldChar w:fldCharType="separate"/>
    </w:r>
    <w:r w:rsidR="008F0884">
      <w:rPr>
        <w:noProof/>
        <w:color w:val="595959"/>
        <w:sz w:val="15"/>
        <w:szCs w:val="15"/>
      </w:rPr>
      <w:t>2</w:t>
    </w:r>
    <w:r>
      <w:rPr>
        <w:color w:val="595959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6CA420" w14:textId="77777777" w:rsidR="00FA646D" w:rsidRDefault="00FA646D">
      <w:r>
        <w:separator/>
      </w:r>
    </w:p>
  </w:footnote>
  <w:footnote w:type="continuationSeparator" w:id="0">
    <w:p w14:paraId="0D968BAB" w14:textId="77777777" w:rsidR="00FA646D" w:rsidRDefault="00FA6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862249"/>
    <w:multiLevelType w:val="hybridMultilevel"/>
    <w:tmpl w:val="2304A328"/>
    <w:lvl w:ilvl="0" w:tplc="B65A524C">
      <w:start w:val="1"/>
      <w:numFmt w:val="bullet"/>
      <w:lvlText w:val="●"/>
      <w:lvlJc w:val="left"/>
      <w:pPr>
        <w:ind w:left="720" w:hanging="360"/>
      </w:pPr>
    </w:lvl>
    <w:lvl w:ilvl="1" w:tplc="B2C247D4">
      <w:start w:val="1"/>
      <w:numFmt w:val="bullet"/>
      <w:lvlText w:val="○"/>
      <w:lvlJc w:val="left"/>
      <w:pPr>
        <w:ind w:left="1440" w:hanging="360"/>
      </w:pPr>
    </w:lvl>
    <w:lvl w:ilvl="2" w:tplc="F22E8620">
      <w:start w:val="1"/>
      <w:numFmt w:val="bullet"/>
      <w:lvlText w:val="■"/>
      <w:lvlJc w:val="left"/>
      <w:pPr>
        <w:ind w:left="2160" w:hanging="360"/>
      </w:pPr>
    </w:lvl>
    <w:lvl w:ilvl="3" w:tplc="168C5558">
      <w:start w:val="1"/>
      <w:numFmt w:val="bullet"/>
      <w:lvlText w:val="●"/>
      <w:lvlJc w:val="left"/>
      <w:pPr>
        <w:ind w:left="2880" w:hanging="360"/>
      </w:pPr>
    </w:lvl>
    <w:lvl w:ilvl="4" w:tplc="8E083E6A">
      <w:start w:val="1"/>
      <w:numFmt w:val="bullet"/>
      <w:lvlText w:val="○"/>
      <w:lvlJc w:val="left"/>
      <w:pPr>
        <w:ind w:left="3600" w:hanging="360"/>
      </w:pPr>
    </w:lvl>
    <w:lvl w:ilvl="5" w:tplc="D5EA2038">
      <w:start w:val="1"/>
      <w:numFmt w:val="bullet"/>
      <w:lvlText w:val="■"/>
      <w:lvlJc w:val="left"/>
      <w:pPr>
        <w:ind w:left="4320" w:hanging="360"/>
      </w:pPr>
    </w:lvl>
    <w:lvl w:ilvl="6" w:tplc="8E109DAE">
      <w:start w:val="1"/>
      <w:numFmt w:val="bullet"/>
      <w:lvlText w:val="●"/>
      <w:lvlJc w:val="left"/>
      <w:pPr>
        <w:ind w:left="5040" w:hanging="360"/>
      </w:pPr>
    </w:lvl>
    <w:lvl w:ilvl="7" w:tplc="A784047A">
      <w:start w:val="1"/>
      <w:numFmt w:val="bullet"/>
      <w:lvlText w:val="●"/>
      <w:lvlJc w:val="left"/>
      <w:pPr>
        <w:ind w:left="5760" w:hanging="360"/>
      </w:pPr>
    </w:lvl>
    <w:lvl w:ilvl="8" w:tplc="33BAF68A">
      <w:start w:val="1"/>
      <w:numFmt w:val="bullet"/>
      <w:lvlText w:val="●"/>
      <w:lvlJc w:val="left"/>
      <w:pPr>
        <w:ind w:left="6480" w:hanging="360"/>
      </w:pPr>
    </w:lvl>
  </w:abstractNum>
  <w:num w:numId="1" w16cid:durableId="12516996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23A"/>
    <w:rsid w:val="006E423A"/>
    <w:rsid w:val="008F0884"/>
    <w:rsid w:val="00F710BC"/>
    <w:rsid w:val="00FA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1A6AB6"/>
  <w15:docId w15:val="{BF76AA89-2C3C-3C4F-B395-68669C82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fr-FR" w:eastAsia="fr-F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1162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guillaume poupard</cp:lastModifiedBy>
  <cp:revision>2</cp:revision>
  <dcterms:created xsi:type="dcterms:W3CDTF">2026-08-06T13:36:00Z</dcterms:created>
  <dcterms:modified xsi:type="dcterms:W3CDTF">2026-08-06T13:49:00Z</dcterms:modified>
</cp:coreProperties>
</file>