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5366B7" w14:textId="77777777" w:rsidR="00D72DE5" w:rsidRDefault="00000000">
      <w:pPr>
        <w:spacing w:after="40"/>
        <w:jc w:val="center"/>
      </w:pPr>
      <w:r>
        <w:rPr>
          <w:b/>
          <w:bCs/>
          <w:color w:val="1F3864"/>
          <w:sz w:val="26"/>
          <w:szCs w:val="26"/>
        </w:rPr>
        <w:t>INSTITUT WAY INSIDE</w:t>
      </w:r>
    </w:p>
    <w:p w14:paraId="39983826" w14:textId="77777777" w:rsidR="00D72DE5" w:rsidRDefault="00000000">
      <w:pPr>
        <w:spacing w:after="320"/>
        <w:jc w:val="center"/>
      </w:pPr>
      <w:r>
        <w:rPr>
          <w:color w:val="595959"/>
          <w:sz w:val="15"/>
          <w:szCs w:val="15"/>
        </w:rPr>
        <w:t>383 Chemin de l’Aligadou, 84170 Monteux  |  g.poupard@wayinside.fr  |  +33 6 10 11 98 56  |  wayinside.fr</w:t>
      </w:r>
    </w:p>
    <w:p w14:paraId="1FAED017" w14:textId="77777777" w:rsidR="00D72DE5" w:rsidRDefault="00000000">
      <w:pPr>
        <w:spacing w:after="60"/>
      </w:pPr>
      <w:r>
        <w:rPr>
          <w:b/>
          <w:bCs/>
          <w:color w:val="1F3864"/>
          <w:sz w:val="34"/>
          <w:szCs w:val="34"/>
        </w:rPr>
        <w:t>Bibliographie</w:t>
      </w:r>
    </w:p>
    <w:p w14:paraId="1071C45F" w14:textId="77777777" w:rsidR="00D72DE5" w:rsidRDefault="00000000">
      <w:pPr>
        <w:pBdr>
          <w:bottom w:val="single" w:sz="6" w:space="6" w:color="1F3864"/>
        </w:pBdr>
        <w:spacing w:after="300"/>
      </w:pPr>
      <w:r>
        <w:rPr>
          <w:color w:val="1F3864"/>
          <w:sz w:val="26"/>
          <w:szCs w:val="26"/>
        </w:rPr>
        <w:t>Thérapie des États du Moi</w:t>
      </w:r>
    </w:p>
    <w:p w14:paraId="778724F5" w14:textId="77777777" w:rsidR="00D72DE5" w:rsidRDefault="00000000">
      <w:pPr>
        <w:spacing w:before="120" w:after="100"/>
      </w:pPr>
      <w:r>
        <w:rPr>
          <w:b/>
          <w:bCs/>
          <w:color w:val="1F3864"/>
          <w:sz w:val="18"/>
          <w:szCs w:val="18"/>
        </w:rPr>
        <w:t>MAÎTRISE DU DOCUMENT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1100"/>
        <w:gridCol w:w="2000"/>
        <w:gridCol w:w="2600"/>
        <w:gridCol w:w="1600"/>
      </w:tblGrid>
      <w:tr w:rsidR="00D72DE5" w14:paraId="3A65953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A1D0E7" w14:textId="77777777" w:rsidR="00D72DE5" w:rsidRDefault="00000000">
            <w:r>
              <w:rPr>
                <w:b/>
                <w:bCs/>
                <w:sz w:val="17"/>
                <w:szCs w:val="17"/>
              </w:rPr>
              <w:t>Référence</w:t>
            </w:r>
          </w:p>
        </w:tc>
        <w:tc>
          <w:tcPr>
            <w:tcW w:w="11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D7F82C" w14:textId="77777777" w:rsidR="00D72DE5" w:rsidRDefault="00000000">
            <w:r>
              <w:rPr>
                <w:b/>
                <w:bCs/>
                <w:sz w:val="17"/>
                <w:szCs w:val="17"/>
              </w:rPr>
              <w:t>Version</w:t>
            </w:r>
          </w:p>
        </w:tc>
        <w:tc>
          <w:tcPr>
            <w:tcW w:w="20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588A0C" w14:textId="77777777" w:rsidR="00D72DE5" w:rsidRDefault="00000000">
            <w:r>
              <w:rPr>
                <w:b/>
                <w:bCs/>
                <w:sz w:val="17"/>
                <w:szCs w:val="17"/>
              </w:rPr>
              <w:t>Date d’application</w:t>
            </w:r>
          </w:p>
        </w:tc>
        <w:tc>
          <w:tcPr>
            <w:tcW w:w="2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B4D4F1" w14:textId="77777777" w:rsidR="00D72DE5" w:rsidRDefault="00000000">
            <w:r>
              <w:rPr>
                <w:b/>
                <w:bCs/>
                <w:sz w:val="17"/>
                <w:szCs w:val="17"/>
              </w:rPr>
              <w:t>Rédacteur / approbateur</w:t>
            </w:r>
          </w:p>
        </w:tc>
        <w:tc>
          <w:tcPr>
            <w:tcW w:w="1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59C84A" w14:textId="77777777" w:rsidR="00D72DE5" w:rsidRDefault="00000000">
            <w:r>
              <w:rPr>
                <w:b/>
                <w:bCs/>
                <w:sz w:val="17"/>
                <w:szCs w:val="17"/>
              </w:rPr>
              <w:t>Prochaine revue</w:t>
            </w:r>
          </w:p>
        </w:tc>
      </w:tr>
      <w:tr w:rsidR="00D72DE5" w14:paraId="18DAC745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19A8F5" w14:textId="77777777" w:rsidR="00D72DE5" w:rsidRDefault="00000000">
            <w:r>
              <w:rPr>
                <w:sz w:val="17"/>
                <w:szCs w:val="17"/>
              </w:rPr>
              <w:t>WI-BIB-05</w:t>
            </w:r>
          </w:p>
        </w:tc>
        <w:tc>
          <w:tcPr>
            <w:tcW w:w="1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739A45" w14:textId="77777777" w:rsidR="00D72DE5" w:rsidRDefault="00000000">
            <w:r>
              <w:rPr>
                <w:sz w:val="17"/>
                <w:szCs w:val="17"/>
              </w:rPr>
              <w:t>V2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F205AF" w14:textId="77777777" w:rsidR="00D72DE5" w:rsidRDefault="00000000">
            <w:r>
              <w:rPr>
                <w:sz w:val="17"/>
                <w:szCs w:val="17"/>
              </w:rPr>
              <w:t>05/08/2026</w:t>
            </w: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D0E264" w14:textId="77777777" w:rsidR="00D72DE5" w:rsidRDefault="00000000">
            <w:r>
              <w:rPr>
                <w:sz w:val="17"/>
                <w:szCs w:val="17"/>
              </w:rPr>
              <w:t>Dr Guillaume POUPARD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89F724" w14:textId="77777777" w:rsidR="00D72DE5" w:rsidRDefault="00000000">
            <w:r>
              <w:rPr>
                <w:sz w:val="17"/>
                <w:szCs w:val="17"/>
              </w:rPr>
              <w:t>05/08/2027</w:t>
            </w:r>
          </w:p>
        </w:tc>
      </w:tr>
    </w:tbl>
    <w:p w14:paraId="1C1B5578" w14:textId="77777777" w:rsidR="00D72DE5" w:rsidRDefault="00000000">
      <w:pPr>
        <w:spacing w:before="320" w:after="120"/>
      </w:pPr>
      <w:r>
        <w:t>La liste des recommandations bibliographiques ci-dessous ne se veut pas exhaustive. Elle s’attache à citer les ouvrages que nous considérons intéressants et utiles au titre de la pratique et de la culture.</w:t>
      </w:r>
    </w:p>
    <w:p w14:paraId="5FAAA74C" w14:textId="77777777" w:rsidR="00D72DE5" w:rsidRDefault="00000000">
      <w:pPr>
        <w:spacing w:after="240"/>
      </w:pPr>
      <w:r>
        <w:t>Merci de bien vouloir nous signaler les erreurs, les omissions, les ouvrages épuisés et introuvables en occasion, ou les nouvelles parutions éventuelles.</w:t>
      </w:r>
    </w:p>
    <w:p w14:paraId="30E0EC1F" w14:textId="77777777" w:rsidR="00D72DE5" w:rsidRDefault="00000000">
      <w:pPr>
        <w:spacing w:before="340" w:after="140"/>
      </w:pPr>
      <w:r>
        <w:rPr>
          <w:b/>
          <w:bCs/>
          <w:color w:val="1F3864"/>
          <w:sz w:val="24"/>
          <w:szCs w:val="24"/>
        </w:rPr>
        <w:t>Thérapie des États du Moi (Ego State Therapy)</w:t>
      </w:r>
    </w:p>
    <w:p w14:paraId="3FCF2F1D" w14:textId="77777777" w:rsidR="00D72DE5" w:rsidRDefault="00000000">
      <w:pPr>
        <w:spacing w:after="120"/>
        <w:ind w:left="340" w:hanging="340"/>
      </w:pPr>
      <w:r>
        <w:t>Binet, E. (dir). (2022). Évaluer et prendre en charge le trouble dissociatif de l’identité. Paris : Dunod.</w:t>
      </w:r>
    </w:p>
    <w:p w14:paraId="0A4F3AD0" w14:textId="77777777" w:rsidR="00D72DE5" w:rsidRDefault="00000000">
      <w:pPr>
        <w:spacing w:after="120"/>
        <w:ind w:left="340" w:hanging="340"/>
      </w:pPr>
      <w:r>
        <w:t>Emmerson, G. (2003). Ego state therapy. Carmarthen : Crown House Publishing. Édition en anglais.</w:t>
      </w:r>
    </w:p>
    <w:p w14:paraId="1C8FF7C9" w14:textId="77777777" w:rsidR="00D72DE5" w:rsidRDefault="00000000">
      <w:pPr>
        <w:spacing w:after="120"/>
        <w:ind w:left="340" w:hanging="340"/>
      </w:pPr>
      <w:r>
        <w:t>Fritzsche, K. (2021). Praxis der Ego-State-Therapie. Heidelberg : Carl-Auer Verlag. Édition en allemand.</w:t>
      </w:r>
    </w:p>
    <w:p w14:paraId="5A2192AA" w14:textId="77777777" w:rsidR="00D72DE5" w:rsidRDefault="00000000">
      <w:pPr>
        <w:spacing w:after="120"/>
        <w:ind w:left="340" w:hanging="340"/>
      </w:pPr>
      <w:r>
        <w:t>Fritzsche, K. et Hartman, W. (2016). Einführung in die Ego-State-Therapie. Heidelberg : Carl-Auer Verlag. Édition en allemand.</w:t>
      </w:r>
    </w:p>
    <w:p w14:paraId="550469E2" w14:textId="77777777" w:rsidR="00D72DE5" w:rsidRDefault="00000000">
      <w:pPr>
        <w:spacing w:after="120"/>
        <w:ind w:left="340" w:hanging="340"/>
      </w:pPr>
      <w:r>
        <w:t>Page, D. et Piedfort-Marin, O. (2024). Réguler ses émotions pour vivre mieux. Paris : Odile Jacob.</w:t>
      </w:r>
    </w:p>
    <w:p w14:paraId="255EF30C" w14:textId="77777777" w:rsidR="00D72DE5" w:rsidRDefault="00000000">
      <w:pPr>
        <w:spacing w:after="120"/>
        <w:ind w:left="340" w:hanging="340"/>
      </w:pPr>
      <w:r>
        <w:t>Phillips, M. et Frederick, C. (1995). Healing the divided self. Clinical and Ericksonian hypnotherapy for post-traumatic and dissociative conditions. New York : W. W. Norton &amp; Company. Édition en anglais.</w:t>
      </w:r>
    </w:p>
    <w:p w14:paraId="469ED512" w14:textId="77777777" w:rsidR="00D72DE5" w:rsidRDefault="00000000">
      <w:pPr>
        <w:spacing w:after="120"/>
        <w:ind w:left="340" w:hanging="340"/>
      </w:pPr>
      <w:r>
        <w:t>Phillips, M. et Frederick, C. (2009). Psychothérapie des états du moi dissociatifs. Guérir le moi divisé. Bruxelles : Satas.</w:t>
      </w:r>
    </w:p>
    <w:p w14:paraId="5660F8D7" w14:textId="77777777" w:rsidR="00D72DE5" w:rsidRDefault="00000000">
      <w:pPr>
        <w:spacing w:after="120"/>
        <w:ind w:left="340" w:hanging="340"/>
      </w:pPr>
      <w:r>
        <w:t>Piedfort-Marin, O. et Reddemann, L. (2017). Psychothérapie des traumatismes complexes : une approche intégrative basée sur la thérapie des états du moi et des techniques hypno-imaginatives. Bruxelles : Satas.</w:t>
      </w:r>
    </w:p>
    <w:p w14:paraId="6137401F" w14:textId="77777777" w:rsidR="00D72DE5" w:rsidRDefault="00000000">
      <w:pPr>
        <w:spacing w:after="120"/>
        <w:ind w:left="340" w:hanging="340"/>
      </w:pPr>
      <w:r>
        <w:t>Watkins, J. G. et Watkins, H. H. (1997). Ego states. Theory and therapy. New York : W. W. Norton &amp; Company. Édition en anglais.</w:t>
      </w:r>
    </w:p>
    <w:p w14:paraId="1FA3D44F" w14:textId="77777777" w:rsidR="00D72DE5" w:rsidRDefault="00000000">
      <w:pPr>
        <w:spacing w:after="120"/>
        <w:ind w:left="340" w:hanging="340"/>
      </w:pPr>
      <w:r>
        <w:t>Zanotta, S. (2019). Wieder ganz werden : Traumaheilung mit Ego-State-Therapie und Körperwissen. Heidelberg : Carl-Auer Verlag. Édition en allemand.</w:t>
      </w:r>
    </w:p>
    <w:p w14:paraId="6B149584" w14:textId="77777777" w:rsidR="00D72DE5" w:rsidRDefault="00000000">
      <w:pPr>
        <w:spacing w:before="340" w:after="140"/>
      </w:pPr>
      <w:r>
        <w:rPr>
          <w:b/>
          <w:bCs/>
          <w:color w:val="1F3864"/>
          <w:sz w:val="24"/>
          <w:szCs w:val="24"/>
        </w:rPr>
        <w:t>Resource Therapy</w:t>
      </w:r>
    </w:p>
    <w:p w14:paraId="0FB8D959" w14:textId="77777777" w:rsidR="00D72DE5" w:rsidRDefault="00000000">
      <w:pPr>
        <w:spacing w:after="120"/>
        <w:ind w:left="340" w:hanging="340"/>
      </w:pPr>
      <w:r>
        <w:t>Emmerson, G. (2014). Resource therapy primer : the personality is composed of parts and those parts are our resources. Blackwood (Victoria) : Old Golden Point Press. Édition en anglais.</w:t>
      </w:r>
    </w:p>
    <w:p w14:paraId="4176F07E" w14:textId="77777777" w:rsidR="00D72DE5" w:rsidRDefault="00000000">
      <w:pPr>
        <w:spacing w:after="120"/>
        <w:ind w:left="340" w:hanging="340"/>
      </w:pPr>
      <w:r>
        <w:t>Emmerson, G. (2014). Resource therapy : the complete guide with case examples and transcripts. Blackwood (Victoria) : Old Golden Point Press. Édition en anglais.</w:t>
      </w:r>
    </w:p>
    <w:p w14:paraId="0AF4DE5B" w14:textId="77777777" w:rsidR="00D72DE5" w:rsidRDefault="00000000">
      <w:pPr>
        <w:spacing w:after="120"/>
        <w:ind w:left="340" w:hanging="340"/>
      </w:pPr>
      <w:r>
        <w:t>Emmerson, G. (2015). Learn resource therapy : clinical qualification student training manual. Blackwood (Victoria) : Old Golden Point Press. Édition en anglais.</w:t>
      </w:r>
    </w:p>
    <w:p w14:paraId="6F02EE98" w14:textId="77777777" w:rsidR="00D72DE5" w:rsidRDefault="00000000">
      <w:pPr>
        <w:spacing w:before="340" w:after="140"/>
      </w:pPr>
      <w:r>
        <w:rPr>
          <w:b/>
          <w:bCs/>
          <w:color w:val="1F3864"/>
          <w:sz w:val="24"/>
          <w:szCs w:val="24"/>
        </w:rPr>
        <w:t>IFS, Internal Family Systems</w:t>
      </w:r>
    </w:p>
    <w:p w14:paraId="5E883D7F" w14:textId="77777777" w:rsidR="00D72DE5" w:rsidRDefault="00000000">
      <w:pPr>
        <w:spacing w:after="120"/>
        <w:ind w:left="340" w:hanging="340"/>
      </w:pPr>
      <w:r>
        <w:t>Le Doze, F. et Krumb, C. (2015). La force de la confiance : une thérapie pour s’unifier. Paris : Odile Jacob.</w:t>
      </w:r>
    </w:p>
    <w:p w14:paraId="2BAC09C7" w14:textId="77777777" w:rsidR="00D72DE5" w:rsidRDefault="00000000">
      <w:pPr>
        <w:spacing w:after="120"/>
        <w:ind w:left="340" w:hanging="340"/>
      </w:pPr>
      <w:r>
        <w:t>Schwartz, R. C. (Le Doze, F. dir. trad.). (2009). Système familial intérieur : blessures et guérison. Un nouveau modèle de psychothérapie. Issy-les-Moulineaux : Elsevier Masson.</w:t>
      </w:r>
    </w:p>
    <w:p w14:paraId="01FFEC91" w14:textId="77777777" w:rsidR="00D72DE5" w:rsidRDefault="00000000">
      <w:pPr>
        <w:spacing w:after="120"/>
        <w:ind w:left="340" w:hanging="340"/>
      </w:pPr>
      <w:r>
        <w:t>Schwartz, R. C. et Sweezy, M. (2019). Internal family systems therapy (2e éd.). New York : Guilford Press. Édition en anglais.</w:t>
      </w:r>
    </w:p>
    <w:p w14:paraId="52231EE9" w14:textId="77777777" w:rsidR="00D72DE5" w:rsidRDefault="00000000">
      <w:pPr>
        <w:spacing w:before="340" w:after="140"/>
      </w:pPr>
      <w:r>
        <w:rPr>
          <w:b/>
          <w:bCs/>
          <w:color w:val="1F3864"/>
          <w:sz w:val="24"/>
          <w:szCs w:val="24"/>
        </w:rPr>
        <w:lastRenderedPageBreak/>
        <w:t>Régulation autonome : le modèle polyvagal et l’état du débat scientifique</w:t>
      </w:r>
    </w:p>
    <w:p w14:paraId="2865BF3E" w14:textId="77777777" w:rsidR="00D72DE5" w:rsidRDefault="00000000">
      <w:pPr>
        <w:spacing w:after="200"/>
      </w:pPr>
      <w:r>
        <w:rPr>
          <w:i/>
          <w:iCs/>
          <w:color w:val="595959"/>
        </w:rPr>
        <w:t>Note de lecture. Les ouvrages de vulgarisation ci-dessous ont diffusé le modèle polyvagal dans le champ des psychothérapies. Ce modèle est aujourd’hui contesté sur ses fondements neuroanatomiques, phylogénétiques et métrologiques. Les références critiques sont donc listées à leur suite. Le module « La théorie polyvagale en thérapie » a été retiré du catalogue de l’institut le 30 juillet 2026 (NOTE-DIR-2026-04). Les outils cliniques de repérage de l’état du client et de corégulation restent enseignés, indépendamment de ce modèle explicatif.</w:t>
      </w:r>
    </w:p>
    <w:p w14:paraId="62667BE6" w14:textId="77777777" w:rsidR="00D72DE5" w:rsidRDefault="00000000">
      <w:pPr>
        <w:spacing w:after="120"/>
        <w:ind w:left="340" w:hanging="340"/>
      </w:pPr>
      <w:r>
        <w:t>Dana, D. A. (2018). The polyvagal theory in therapy : engaging the rhythm of regulation. New York : W. W. Norton &amp; Co. Édition en anglais.</w:t>
      </w:r>
    </w:p>
    <w:p w14:paraId="10AC003F" w14:textId="77777777" w:rsidR="00D72DE5" w:rsidRDefault="00000000">
      <w:pPr>
        <w:spacing w:after="120"/>
        <w:ind w:left="340" w:hanging="340"/>
      </w:pPr>
      <w:r>
        <w:t>Dana, D. A. (2020). Polyvagal exercises for safety and connection : 50 client-centered practices. New York : W. W. Norton &amp; Co. Édition en anglais.</w:t>
      </w:r>
    </w:p>
    <w:p w14:paraId="319234A0" w14:textId="77777777" w:rsidR="00D72DE5" w:rsidRDefault="00000000">
      <w:pPr>
        <w:spacing w:after="120"/>
        <w:ind w:left="340" w:hanging="340"/>
      </w:pPr>
      <w:r>
        <w:t>Porges, S. W. (2021). La théorie polyvagale : fondements neurophysiologiques des émotions, de l’attachement, de la communication et de l’autorégulation. Les Ulis : EDP Sciences.</w:t>
      </w:r>
    </w:p>
    <w:p w14:paraId="50F99964" w14:textId="77777777" w:rsidR="00D72DE5" w:rsidRDefault="00000000">
      <w:pPr>
        <w:spacing w:after="120"/>
        <w:ind w:left="340" w:hanging="340"/>
      </w:pPr>
      <w:r>
        <w:t>Rosenberg, S. (2020). Stimuler le nerf vague pour faciliter la guérison : exercices pour l’anxiété, la dépression, le traumatisme et l’autisme. Paris : Guy Trédaniel.</w:t>
      </w:r>
    </w:p>
    <w:p w14:paraId="127E852C" w14:textId="77777777" w:rsidR="00D72DE5" w:rsidRDefault="00000000">
      <w:pPr>
        <w:spacing w:after="120"/>
        <w:ind w:left="340" w:hanging="340"/>
      </w:pPr>
      <w:r>
        <w:t>Grossman, P. et Taylor, E. W. (2007). Toward understanding respiratory sinus arrhythmia : relations to cardiac vagal tone, evolution and biobehavioral functions. Biological Psychology, 74(2), 263-285.</w:t>
      </w:r>
    </w:p>
    <w:p w14:paraId="1AC7956B" w14:textId="77777777" w:rsidR="00D72DE5" w:rsidRDefault="00000000">
      <w:pPr>
        <w:spacing w:after="120"/>
        <w:ind w:left="340" w:hanging="340"/>
      </w:pPr>
      <w:r>
        <w:t>Neuhuber, W. L. et Berthoud, H.-R. (2022). Functional anatomy of the vagus system : how does the polyvagal theory comply ? Biological Psychology, 174, 108425.</w:t>
      </w:r>
    </w:p>
    <w:p w14:paraId="75BBF8B1" w14:textId="77777777" w:rsidR="00D72DE5" w:rsidRDefault="00000000">
      <w:pPr>
        <w:spacing w:after="120"/>
        <w:ind w:left="340" w:hanging="340"/>
      </w:pPr>
      <w:r>
        <w:t>Taylor, E. W., Wang, T. et Leite, C. A. C. (2022). An overview of the phylogeny of cardiorespiratory control in vertebrates with some reflections on the polyvagal theory. Biological Psychology, 172, 108382.</w:t>
      </w:r>
    </w:p>
    <w:p w14:paraId="4740A1CD" w14:textId="77777777" w:rsidR="00D72DE5" w:rsidRDefault="00000000">
      <w:pPr>
        <w:spacing w:after="120"/>
        <w:ind w:left="340" w:hanging="340"/>
      </w:pPr>
      <w:r>
        <w:t>Grossman, P. (2023). Fundamental challenges and likely refutations of the five basic premises of the polyvagal theory. Biological Psychology.</w:t>
      </w:r>
    </w:p>
    <w:p w14:paraId="158C06EC" w14:textId="77777777" w:rsidR="00D72DE5" w:rsidRDefault="00000000">
      <w:pPr>
        <w:spacing w:after="120"/>
        <w:ind w:left="340" w:hanging="340"/>
      </w:pPr>
      <w:r>
        <w:t>Grossman, P., Ackland, G. L., Allen, A. M., Berntson, G. G. et al. (2026). Why the polyvagal theory is untenable. An international expert evaluation of the polyvagal theory. Clinical Neuropsychiatry, 23(1), 100-112.</w:t>
      </w:r>
    </w:p>
    <w:p w14:paraId="37F25038" w14:textId="77777777" w:rsidR="00D72DE5" w:rsidRDefault="00000000">
      <w:pPr>
        <w:spacing w:after="120"/>
        <w:ind w:left="340" w:hanging="340"/>
      </w:pPr>
      <w:r>
        <w:t>Porges, S. W. (2026). When a critique becomes untenable : a scholarly response to Grossman et al.’s evaluation of polyvagal theory. Clinical Neuropsychiatry, 23(1), 113-128.</w:t>
      </w:r>
    </w:p>
    <w:p w14:paraId="65FC4EEE" w14:textId="77777777" w:rsidR="00D72DE5" w:rsidRDefault="00000000">
      <w:pPr>
        <w:spacing w:after="120"/>
        <w:ind w:left="340" w:hanging="340"/>
      </w:pPr>
      <w:r>
        <w:t>Thayer, J. F. et Lane, R. D. (2009). Claude Bernard and the heart-brain connection : further elaboration of a model of neurovisceral integration. Neuroscience and Biobehavioral Reviews, 33(2), 81-88.</w:t>
      </w:r>
    </w:p>
    <w:sectPr w:rsidR="00D72DE5">
      <w:footerReference w:type="default" r:id="rId7"/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8B1263" w14:textId="77777777" w:rsidR="00D708CA" w:rsidRDefault="00D708CA">
      <w:r>
        <w:separator/>
      </w:r>
    </w:p>
  </w:endnote>
  <w:endnote w:type="continuationSeparator" w:id="0">
    <w:p w14:paraId="2139B653" w14:textId="77777777" w:rsidR="00D708CA" w:rsidRDefault="00D70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28FB1E" w14:textId="77777777" w:rsidR="00D72DE5" w:rsidRDefault="00000000">
    <w:pPr>
      <w:spacing w:before="100"/>
      <w:jc w:val="center"/>
    </w:pPr>
    <w:r>
      <w:rPr>
        <w:i/>
        <w:iCs/>
        <w:color w:val="595959"/>
        <w:sz w:val="13"/>
        <w:szCs w:val="13"/>
      </w:rPr>
      <w:t>INSTITUT WAY INSIDE  |  383 Chemin de l’Aligadou, 84170 Monteux  |  SIRET : 82907887200035  |  Déclaration d’activité : 93840391584 (auprès du préfet de région PACA). Cet enregistrement ne vaut pas agrément de l’État.</w:t>
    </w:r>
  </w:p>
  <w:p w14:paraId="67368EDB" w14:textId="77777777" w:rsidR="00D72DE5" w:rsidRDefault="00000000">
    <w:pPr>
      <w:jc w:val="center"/>
    </w:pPr>
    <w:r>
      <w:rPr>
        <w:i/>
        <w:iCs/>
        <w:color w:val="595959"/>
        <w:sz w:val="13"/>
        <w:szCs w:val="13"/>
      </w:rPr>
      <w:t>Réf. WI-BIB-05  |  Version V2  |  Applicable au 05/08/2026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11FFE8" w14:textId="77777777" w:rsidR="00D708CA" w:rsidRDefault="00D708CA">
      <w:r>
        <w:separator/>
      </w:r>
    </w:p>
  </w:footnote>
  <w:footnote w:type="continuationSeparator" w:id="0">
    <w:p w14:paraId="5460AF76" w14:textId="77777777" w:rsidR="00D708CA" w:rsidRDefault="00D70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BB16A1"/>
    <w:multiLevelType w:val="hybridMultilevel"/>
    <w:tmpl w:val="81FAB9F2"/>
    <w:lvl w:ilvl="0" w:tplc="F6B2A50A">
      <w:start w:val="1"/>
      <w:numFmt w:val="bullet"/>
      <w:lvlText w:val="●"/>
      <w:lvlJc w:val="left"/>
      <w:pPr>
        <w:ind w:left="720" w:hanging="360"/>
      </w:pPr>
    </w:lvl>
    <w:lvl w:ilvl="1" w:tplc="F18899EC">
      <w:start w:val="1"/>
      <w:numFmt w:val="bullet"/>
      <w:lvlText w:val="○"/>
      <w:lvlJc w:val="left"/>
      <w:pPr>
        <w:ind w:left="1440" w:hanging="360"/>
      </w:pPr>
    </w:lvl>
    <w:lvl w:ilvl="2" w:tplc="9F283844">
      <w:start w:val="1"/>
      <w:numFmt w:val="bullet"/>
      <w:lvlText w:val="■"/>
      <w:lvlJc w:val="left"/>
      <w:pPr>
        <w:ind w:left="2160" w:hanging="360"/>
      </w:pPr>
    </w:lvl>
    <w:lvl w:ilvl="3" w:tplc="0870072E">
      <w:start w:val="1"/>
      <w:numFmt w:val="bullet"/>
      <w:lvlText w:val="●"/>
      <w:lvlJc w:val="left"/>
      <w:pPr>
        <w:ind w:left="2880" w:hanging="360"/>
      </w:pPr>
    </w:lvl>
    <w:lvl w:ilvl="4" w:tplc="AFA832B8">
      <w:start w:val="1"/>
      <w:numFmt w:val="bullet"/>
      <w:lvlText w:val="○"/>
      <w:lvlJc w:val="left"/>
      <w:pPr>
        <w:ind w:left="3600" w:hanging="360"/>
      </w:pPr>
    </w:lvl>
    <w:lvl w:ilvl="5" w:tplc="3F56435C">
      <w:start w:val="1"/>
      <w:numFmt w:val="bullet"/>
      <w:lvlText w:val="■"/>
      <w:lvlJc w:val="left"/>
      <w:pPr>
        <w:ind w:left="4320" w:hanging="360"/>
      </w:pPr>
    </w:lvl>
    <w:lvl w:ilvl="6" w:tplc="7B947AF4">
      <w:start w:val="1"/>
      <w:numFmt w:val="bullet"/>
      <w:lvlText w:val="●"/>
      <w:lvlJc w:val="left"/>
      <w:pPr>
        <w:ind w:left="5040" w:hanging="360"/>
      </w:pPr>
    </w:lvl>
    <w:lvl w:ilvl="7" w:tplc="5BE86C72">
      <w:start w:val="1"/>
      <w:numFmt w:val="bullet"/>
      <w:lvlText w:val="●"/>
      <w:lvlJc w:val="left"/>
      <w:pPr>
        <w:ind w:left="5760" w:hanging="360"/>
      </w:pPr>
    </w:lvl>
    <w:lvl w:ilvl="8" w:tplc="C1403C50">
      <w:start w:val="1"/>
      <w:numFmt w:val="bullet"/>
      <w:lvlText w:val="●"/>
      <w:lvlJc w:val="left"/>
      <w:pPr>
        <w:ind w:left="6480" w:hanging="360"/>
      </w:pPr>
    </w:lvl>
  </w:abstractNum>
  <w:num w:numId="1" w16cid:durableId="8178474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DE5"/>
    <w:rsid w:val="004E4BFD"/>
    <w:rsid w:val="00D708CA"/>
    <w:rsid w:val="00D72DE5"/>
    <w:rsid w:val="00F7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46170D"/>
  <w15:docId w15:val="{BF76AA89-2C3C-3C4F-B395-68669C82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861</Words>
  <Characters>4738</Characters>
  <Application>Microsoft Office Word</Application>
  <DocSecurity>0</DocSecurity>
  <Lines>39</Lines>
  <Paragraphs>11</Paragraphs>
  <ScaleCrop>false</ScaleCrop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Bibliographie Thérapie des États du Moi</dc:title>
  <dc:creator>Institut Way Inside</dc:creator>
  <cp:lastModifiedBy>guillaume poupard</cp:lastModifiedBy>
  <cp:revision>2</cp:revision>
  <dcterms:created xsi:type="dcterms:W3CDTF">2026-08-05T14:08:00Z</dcterms:created>
  <dcterms:modified xsi:type="dcterms:W3CDTF">2026-08-06T10:30:00Z</dcterms:modified>
</cp:coreProperties>
</file>